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F4" w:rsidRPr="004475F4" w:rsidRDefault="004475F4" w:rsidP="004475F4">
      <w:pPr>
        <w:pStyle w:val="1"/>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泰山医学院研究生学业奖学金管理暂行办法</w:t>
      </w:r>
    </w:p>
    <w:p w:rsidR="004475F4" w:rsidRPr="004475F4" w:rsidRDefault="004475F4" w:rsidP="009C17B6">
      <w:pPr>
        <w:tabs>
          <w:tab w:val="left" w:pos="3765"/>
          <w:tab w:val="center" w:pos="4759"/>
        </w:tabs>
        <w:spacing w:beforeLines="50" w:line="360" w:lineRule="auto"/>
        <w:jc w:val="center"/>
        <w:rPr>
          <w:rFonts w:asciiTheme="minorEastAsia" w:eastAsiaTheme="minorEastAsia" w:hAnsiTheme="minorEastAsia"/>
          <w:b/>
          <w:color w:val="000000"/>
          <w:sz w:val="28"/>
          <w:szCs w:val="28"/>
        </w:rPr>
      </w:pPr>
      <w:r w:rsidRPr="004475F4">
        <w:rPr>
          <w:rFonts w:asciiTheme="minorEastAsia" w:eastAsiaTheme="minorEastAsia" w:hAnsiTheme="minorEastAsia" w:hint="eastAsia"/>
          <w:b/>
          <w:color w:val="000000"/>
          <w:sz w:val="28"/>
          <w:szCs w:val="28"/>
        </w:rPr>
        <w:t>（试行）</w:t>
      </w:r>
    </w:p>
    <w:p w:rsidR="004475F4" w:rsidRPr="004475F4" w:rsidRDefault="004475F4" w:rsidP="004475F4">
      <w:pPr>
        <w:pStyle w:val="2"/>
        <w:spacing w:line="420" w:lineRule="exact"/>
        <w:rPr>
          <w:rFonts w:asciiTheme="minorEastAsia" w:eastAsiaTheme="minorEastAsia" w:hAnsiTheme="minorEastAsia"/>
        </w:rPr>
      </w:pPr>
      <w:r w:rsidRPr="004475F4">
        <w:rPr>
          <w:rFonts w:asciiTheme="minorEastAsia" w:eastAsiaTheme="minorEastAsia" w:hAnsiTheme="minorEastAsia" w:hint="eastAsia"/>
        </w:rPr>
        <w:t>第一章 总 则</w:t>
      </w:r>
    </w:p>
    <w:p w:rsidR="004475F4" w:rsidRPr="004475F4" w:rsidRDefault="004475F4" w:rsidP="004475F4">
      <w:pPr>
        <w:spacing w:line="460" w:lineRule="exact"/>
        <w:ind w:firstLineChars="200" w:firstLine="560"/>
        <w:rPr>
          <w:rFonts w:asciiTheme="minorEastAsia" w:eastAsiaTheme="minorEastAsia" w:hAnsiTheme="minorEastAsia"/>
          <w:bCs/>
          <w:sz w:val="28"/>
          <w:szCs w:val="28"/>
        </w:rPr>
      </w:pPr>
      <w:r w:rsidRPr="004475F4">
        <w:rPr>
          <w:rFonts w:asciiTheme="minorEastAsia" w:eastAsiaTheme="minorEastAsia" w:hAnsiTheme="minorEastAsia" w:hint="eastAsia"/>
          <w:color w:val="000000"/>
          <w:sz w:val="28"/>
          <w:szCs w:val="28"/>
        </w:rPr>
        <w:t>第一条  为适应研究生教育发展需要，进一步优化研究生教育结构，激励研究生勤奋学习、潜心科研、勇于创新、积极进取，切实提高研究生培养质量，根据《财政部国家发展改革委教育部关于完善研究生教育投入机制的意见》（财教</w:t>
      </w:r>
      <w:r w:rsidRPr="004475F4">
        <w:rPr>
          <w:rFonts w:asciiTheme="minorEastAsia" w:eastAsiaTheme="minorEastAsia" w:hAnsiTheme="minorEastAsia" w:cs="宋体" w:hint="eastAsia"/>
          <w:color w:val="000000"/>
          <w:sz w:val="28"/>
          <w:szCs w:val="28"/>
        </w:rPr>
        <w:t>﹝</w:t>
      </w:r>
      <w:r w:rsidRPr="004475F4">
        <w:rPr>
          <w:rFonts w:asciiTheme="minorEastAsia" w:eastAsiaTheme="minorEastAsia" w:hAnsiTheme="minorEastAsia" w:hint="eastAsia"/>
          <w:color w:val="000000"/>
          <w:sz w:val="28"/>
          <w:szCs w:val="28"/>
        </w:rPr>
        <w:t>2013</w:t>
      </w:r>
      <w:r w:rsidRPr="004475F4">
        <w:rPr>
          <w:rFonts w:asciiTheme="minorEastAsia" w:eastAsiaTheme="minorEastAsia" w:hAnsiTheme="minorEastAsia" w:cs="宋体" w:hint="eastAsia"/>
          <w:color w:val="000000"/>
          <w:sz w:val="28"/>
          <w:szCs w:val="28"/>
        </w:rPr>
        <w:t>﹞</w:t>
      </w:r>
      <w:r w:rsidRPr="004475F4">
        <w:rPr>
          <w:rFonts w:asciiTheme="minorEastAsia" w:eastAsiaTheme="minorEastAsia" w:hAnsiTheme="minorEastAsia" w:hint="eastAsia"/>
          <w:color w:val="000000"/>
          <w:sz w:val="28"/>
          <w:szCs w:val="28"/>
        </w:rPr>
        <w:t>19 号）及《泰山医学院研究生奖助学金管理暂行办法》（泰医研字〔2014〕6号），结合我校研究生教育实际，制定本管理办法。</w:t>
      </w:r>
    </w:p>
    <w:p w:rsidR="004475F4" w:rsidRPr="004475F4" w:rsidRDefault="004475F4" w:rsidP="004475F4">
      <w:pPr>
        <w:spacing w:line="460" w:lineRule="exact"/>
        <w:ind w:firstLineChars="200" w:firstLine="560"/>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第二条  学校设立研究生学业奖学金用于奖励学业优秀、表现良好的研究生。</w:t>
      </w:r>
    </w:p>
    <w:p w:rsidR="004475F4" w:rsidRPr="004475F4" w:rsidRDefault="004475F4" w:rsidP="004475F4">
      <w:pPr>
        <w:spacing w:line="460" w:lineRule="exact"/>
        <w:ind w:firstLineChars="200" w:firstLine="560"/>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第三条  研究生学业奖学金经费来源于学校统筹的财政拨款、学费收入、社会捐助等多种途径。</w:t>
      </w:r>
    </w:p>
    <w:p w:rsidR="004475F4" w:rsidRPr="004475F4" w:rsidRDefault="004475F4" w:rsidP="004475F4">
      <w:pPr>
        <w:spacing w:line="460" w:lineRule="exact"/>
        <w:ind w:firstLineChars="200" w:firstLine="560"/>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第四条  研究生学业奖学金参评对象为我校在籍且基本学制年限内纳入全国研究生招生计划的全日制（全脱产学习）研究生，同时须具有中华人民共和国国籍。</w:t>
      </w:r>
    </w:p>
    <w:p w:rsidR="004475F4" w:rsidRPr="004475F4" w:rsidRDefault="004475F4" w:rsidP="004475F4">
      <w:pPr>
        <w:spacing w:line="460" w:lineRule="exact"/>
        <w:ind w:firstLineChars="200" w:firstLine="560"/>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第五条  按照一级学科、培养类型（科学学位、专业学位）分别划分指标，分别评定。</w:t>
      </w:r>
      <w:r w:rsidRPr="004475F4">
        <w:rPr>
          <w:rFonts w:asciiTheme="minorEastAsia" w:eastAsiaTheme="minorEastAsia" w:hAnsiTheme="minorEastAsia" w:hint="eastAsia"/>
          <w:color w:val="000000"/>
          <w:spacing w:val="-4"/>
          <w:sz w:val="28"/>
          <w:szCs w:val="28"/>
        </w:rPr>
        <w:t>若遇到同一培养类型范围内相关一级学科招生人数较少时，可与其他相关一级学科合并计算</w:t>
      </w:r>
      <w:r w:rsidRPr="004475F4">
        <w:rPr>
          <w:rFonts w:asciiTheme="minorEastAsia" w:eastAsiaTheme="minorEastAsia" w:hAnsiTheme="minorEastAsia" w:hint="eastAsia"/>
          <w:color w:val="000000"/>
          <w:sz w:val="28"/>
          <w:szCs w:val="28"/>
        </w:rPr>
        <w:t>。</w:t>
      </w:r>
    </w:p>
    <w:p w:rsidR="004475F4" w:rsidRPr="004475F4" w:rsidRDefault="004475F4" w:rsidP="004475F4">
      <w:pPr>
        <w:pStyle w:val="2"/>
        <w:rPr>
          <w:rFonts w:asciiTheme="minorEastAsia" w:eastAsiaTheme="minorEastAsia" w:hAnsiTheme="minorEastAsia"/>
        </w:rPr>
      </w:pPr>
      <w:r w:rsidRPr="004475F4">
        <w:rPr>
          <w:rFonts w:asciiTheme="minorEastAsia" w:eastAsiaTheme="minorEastAsia" w:hAnsiTheme="minorEastAsia" w:hint="eastAsia"/>
          <w:lang w:val="en-US"/>
        </w:rPr>
        <w:t xml:space="preserve"> </w:t>
      </w:r>
      <w:r w:rsidRPr="004475F4">
        <w:rPr>
          <w:rFonts w:asciiTheme="minorEastAsia" w:eastAsiaTheme="minorEastAsia" w:hAnsiTheme="minorEastAsia" w:hint="eastAsia"/>
        </w:rPr>
        <w:t>第二章 学业奖学金的评定</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第六条  研究生学业奖学金的评审工作坚持公开、公平、公正、择优的原则，严格执行国家有关教育法规，杜绝弄虚作假。</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第七条  研究生参与学业奖学金的评定，除须符合本细则第四条规定外，同时应具备如下条件：</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（一） 坚持党的基本路线，思想品德优良，遵纪守法，诚实守信；</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（二）学习刻苦认真，科研能力强，学习成绩优异；</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（三） 积极参与科学研究和社会实践；</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（四）申请学生需在其基本学制期内。</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lastRenderedPageBreak/>
        <w:t>第八条  有下列情况之一者，在校期间不得申请研究生学业奖学金：</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（一）未按时足额缴纳当年的全部学费；</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（二）有1门及以上课程考试不及格；</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（三）有考试作弊或学术造假行为；</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（四）未按学籍管理规定按时注册；</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（五）违反校规校纪，在校期间受到各类处分；</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（六）在科研或临床工作中违反工作程序，导致损失或后果严重者。</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 xml:space="preserve">第九条  学业奖学金实行动态管理，每学年评定一次。具体量化办法见附件《泰山医学院研究生学业奖学金评审量化计分办法》。国家奖学金获得者不重复获得学业奖学金。 </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第十条  申请研究生学业奖学金需由研究生个人提出申请。</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第十一条  学校下发学业奖学金评定通知，研究生个人提出申请后由导师推荐至所在学院、培养单位，对研究生所提报材料进行审核，结合研究生日常表现提出推荐意见并上报学校研究生学业奖学金评审办公室，办公室根据《泰山医学院研究生学业奖学金评审量化计分办法》组织对所有获得推荐的研究生进行量化计分并排序。第一学年学生提出申请后，由研究生部组织审核、排序。排序结果报学校研究生学业奖学金评审领导小组，由领导小组确定研究生获奖学生名单。</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第十二条  研究生学业奖学金实行公示制度。公示时间不少于五个工作日，公示无异议后上报山东省学生资助管理中心。</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第十三条  对研究生国家奖学金评审结果有异议的学生，可在公示阶段向校研究生学业奖学金评审办公室提出申诉，办公室应及时研究并予以答复。如学生对办公室作出的答复仍存在异议，可在公示阶段向校研究生学业奖学金评审领导小组提请裁决。</w:t>
      </w:r>
    </w:p>
    <w:p w:rsidR="004475F4" w:rsidRPr="004475F4" w:rsidRDefault="004475F4" w:rsidP="004475F4">
      <w:pPr>
        <w:pStyle w:val="2"/>
        <w:rPr>
          <w:rFonts w:asciiTheme="minorEastAsia" w:eastAsiaTheme="minorEastAsia" w:hAnsiTheme="minorEastAsia"/>
        </w:rPr>
      </w:pPr>
      <w:r w:rsidRPr="004475F4">
        <w:rPr>
          <w:rFonts w:asciiTheme="minorEastAsia" w:eastAsiaTheme="minorEastAsia" w:hAnsiTheme="minorEastAsia" w:hint="eastAsia"/>
        </w:rPr>
        <w:t>第三章 学业奖学金设置标准</w:t>
      </w:r>
    </w:p>
    <w:p w:rsidR="004475F4" w:rsidRPr="004475F4" w:rsidRDefault="004475F4" w:rsidP="009C17B6">
      <w:pPr>
        <w:pStyle w:val="3"/>
        <w:spacing w:afterLines="50"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第十四条  学业奖学金按照年级全日制硕士研究生（非在职人员）总人数的70%设立，分一等、二等、三等三个等级，奖励标准及比例如下：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4"/>
        <w:gridCol w:w="1836"/>
        <w:gridCol w:w="3600"/>
      </w:tblGrid>
      <w:tr w:rsidR="004475F4" w:rsidRPr="004475F4" w:rsidTr="004475F4">
        <w:trPr>
          <w:trHeight w:val="567"/>
          <w:jc w:val="center"/>
        </w:trPr>
        <w:tc>
          <w:tcPr>
            <w:tcW w:w="2664"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lastRenderedPageBreak/>
              <w:t>等级</w:t>
            </w:r>
          </w:p>
        </w:tc>
        <w:tc>
          <w:tcPr>
            <w:tcW w:w="1836"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比例</w:t>
            </w:r>
          </w:p>
        </w:tc>
        <w:tc>
          <w:tcPr>
            <w:tcW w:w="3600"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金额（元/年·生）</w:t>
            </w:r>
          </w:p>
        </w:tc>
      </w:tr>
      <w:tr w:rsidR="004475F4" w:rsidRPr="004475F4" w:rsidTr="004475F4">
        <w:trPr>
          <w:trHeight w:val="567"/>
          <w:jc w:val="center"/>
        </w:trPr>
        <w:tc>
          <w:tcPr>
            <w:tcW w:w="2664"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一等</w:t>
            </w:r>
          </w:p>
        </w:tc>
        <w:tc>
          <w:tcPr>
            <w:tcW w:w="1836"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10%</w:t>
            </w:r>
          </w:p>
        </w:tc>
        <w:tc>
          <w:tcPr>
            <w:tcW w:w="3600"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6000</w:t>
            </w:r>
          </w:p>
        </w:tc>
      </w:tr>
      <w:tr w:rsidR="004475F4" w:rsidRPr="004475F4" w:rsidTr="004475F4">
        <w:trPr>
          <w:trHeight w:val="567"/>
          <w:jc w:val="center"/>
        </w:trPr>
        <w:tc>
          <w:tcPr>
            <w:tcW w:w="2664"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二等</w:t>
            </w:r>
          </w:p>
        </w:tc>
        <w:tc>
          <w:tcPr>
            <w:tcW w:w="1836"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20%</w:t>
            </w:r>
          </w:p>
        </w:tc>
        <w:tc>
          <w:tcPr>
            <w:tcW w:w="3600"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4000</w:t>
            </w:r>
          </w:p>
        </w:tc>
      </w:tr>
      <w:tr w:rsidR="004475F4" w:rsidRPr="004475F4" w:rsidTr="004475F4">
        <w:trPr>
          <w:trHeight w:val="567"/>
          <w:jc w:val="center"/>
        </w:trPr>
        <w:tc>
          <w:tcPr>
            <w:tcW w:w="2664"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三等</w:t>
            </w:r>
          </w:p>
        </w:tc>
        <w:tc>
          <w:tcPr>
            <w:tcW w:w="1836"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40%</w:t>
            </w:r>
          </w:p>
        </w:tc>
        <w:tc>
          <w:tcPr>
            <w:tcW w:w="3600" w:type="dxa"/>
            <w:tcBorders>
              <w:top w:val="single" w:sz="4" w:space="0" w:color="auto"/>
              <w:left w:val="single" w:sz="4" w:space="0" w:color="auto"/>
              <w:bottom w:val="single" w:sz="4" w:space="0" w:color="auto"/>
              <w:right w:val="single" w:sz="4" w:space="0" w:color="auto"/>
            </w:tcBorders>
            <w:vAlign w:val="center"/>
            <w:hideMark/>
          </w:tcPr>
          <w:p w:rsidR="004475F4" w:rsidRPr="004475F4" w:rsidRDefault="004475F4">
            <w:pPr>
              <w:jc w:val="center"/>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2000</w:t>
            </w:r>
          </w:p>
        </w:tc>
      </w:tr>
    </w:tbl>
    <w:p w:rsidR="004475F4" w:rsidRPr="004475F4" w:rsidRDefault="004475F4" w:rsidP="009C17B6">
      <w:pPr>
        <w:pStyle w:val="2"/>
        <w:spacing w:beforeLines="50"/>
        <w:rPr>
          <w:rFonts w:asciiTheme="minorEastAsia" w:eastAsiaTheme="minorEastAsia" w:hAnsiTheme="minorEastAsia" w:cs="Times New Roman"/>
        </w:rPr>
      </w:pPr>
      <w:r w:rsidRPr="004475F4">
        <w:rPr>
          <w:rFonts w:asciiTheme="minorEastAsia" w:eastAsiaTheme="minorEastAsia" w:hAnsiTheme="minorEastAsia" w:hint="eastAsia"/>
        </w:rPr>
        <w:t>第四章  学业奖学金发放、管理与监督</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第十五条 学校每年12月30日前将当年研究生学业奖学金一次性发放给获奖学生，并将研究生获得奖学金情况记入学生学籍档案。申请休学的，休学期间停发奖学金。研究生复学后，根据休学的具体情况续发或重新评定学业奖学金。</w:t>
      </w:r>
    </w:p>
    <w:p w:rsidR="004475F4" w:rsidRPr="004475F4" w:rsidRDefault="004475F4" w:rsidP="004475F4">
      <w:pPr>
        <w:pStyle w:val="3"/>
        <w:spacing w:line="46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第十六条 学校严格执行国家相关财经法规和本办法的规定，对学业奖学金实行分账核算，加强资金管理，专款专用，不得截留、挤占、挪用，同时接受财政、审计、纪检监察、主管机关等部门的检查和监督。</w:t>
      </w:r>
    </w:p>
    <w:p w:rsidR="004475F4" w:rsidRPr="004475F4" w:rsidRDefault="004475F4" w:rsidP="009C17B6">
      <w:pPr>
        <w:pStyle w:val="2"/>
        <w:spacing w:beforeLines="50"/>
        <w:rPr>
          <w:rFonts w:asciiTheme="minorEastAsia" w:eastAsiaTheme="minorEastAsia" w:hAnsiTheme="minorEastAsia"/>
        </w:rPr>
      </w:pPr>
      <w:r w:rsidRPr="004475F4">
        <w:rPr>
          <w:rFonts w:asciiTheme="minorEastAsia" w:eastAsiaTheme="minorEastAsia" w:hAnsiTheme="minorEastAsia" w:hint="eastAsia"/>
        </w:rPr>
        <w:t>第五章  附   则</w:t>
      </w:r>
    </w:p>
    <w:p w:rsidR="004475F4" w:rsidRPr="004475F4" w:rsidRDefault="004475F4" w:rsidP="004475F4">
      <w:pPr>
        <w:pStyle w:val="3"/>
        <w:spacing w:line="44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第十七条 本管理办法由泰山医学院研究生学业奖学金评审领导小组授权研究生部负责解释。</w:t>
      </w:r>
    </w:p>
    <w:p w:rsidR="004475F4" w:rsidRPr="004475F4" w:rsidRDefault="004475F4" w:rsidP="004475F4">
      <w:pPr>
        <w:pStyle w:val="3"/>
        <w:spacing w:line="44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第十八条 学校将根据国家政策对奖励对象、奖励标准和奖励比例等进行动态调整。</w:t>
      </w:r>
    </w:p>
    <w:p w:rsidR="004475F4" w:rsidRPr="004475F4" w:rsidRDefault="004475F4" w:rsidP="004475F4">
      <w:pPr>
        <w:pStyle w:val="3"/>
        <w:spacing w:line="440" w:lineRule="exact"/>
        <w:ind w:firstLine="560"/>
        <w:rPr>
          <w:rFonts w:asciiTheme="minorEastAsia" w:eastAsiaTheme="minorEastAsia" w:hAnsiTheme="minorEastAsia"/>
          <w:sz w:val="28"/>
          <w:szCs w:val="28"/>
        </w:rPr>
      </w:pPr>
      <w:r w:rsidRPr="004475F4">
        <w:rPr>
          <w:rFonts w:asciiTheme="minorEastAsia" w:eastAsiaTheme="minorEastAsia" w:hAnsiTheme="minorEastAsia" w:hint="eastAsia"/>
          <w:sz w:val="28"/>
          <w:szCs w:val="28"/>
        </w:rPr>
        <w:t>第十九条 本管理办法自2014级研究生开始执行。</w:t>
      </w:r>
    </w:p>
    <w:p w:rsidR="004475F4" w:rsidRPr="004475F4" w:rsidRDefault="004475F4" w:rsidP="004475F4">
      <w:pPr>
        <w:spacing w:line="360" w:lineRule="auto"/>
        <w:rPr>
          <w:rFonts w:asciiTheme="minorEastAsia" w:eastAsiaTheme="minorEastAsia" w:hAnsiTheme="minorEastAsia"/>
          <w:color w:val="000000"/>
          <w:sz w:val="28"/>
          <w:szCs w:val="28"/>
        </w:rPr>
      </w:pPr>
    </w:p>
    <w:p w:rsidR="004475F4" w:rsidRDefault="004475F4" w:rsidP="004475F4">
      <w:pPr>
        <w:spacing w:line="360" w:lineRule="auto"/>
        <w:rPr>
          <w:rFonts w:asciiTheme="minorEastAsia" w:eastAsiaTheme="minorEastAsia" w:hAnsiTheme="minorEastAsia"/>
          <w:color w:val="000000"/>
          <w:sz w:val="28"/>
          <w:szCs w:val="28"/>
        </w:rPr>
      </w:pPr>
      <w:r w:rsidRPr="004475F4">
        <w:rPr>
          <w:rFonts w:asciiTheme="minorEastAsia" w:eastAsiaTheme="minorEastAsia" w:hAnsiTheme="minorEastAsia" w:hint="eastAsia"/>
          <w:color w:val="000000"/>
          <w:sz w:val="28"/>
          <w:szCs w:val="28"/>
        </w:rPr>
        <w:t xml:space="preserve">                                              研究生部</w:t>
      </w:r>
    </w:p>
    <w:p w:rsidR="004475F4" w:rsidRPr="004475F4" w:rsidRDefault="004475F4" w:rsidP="004475F4">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sidRPr="004475F4">
        <w:rPr>
          <w:rFonts w:asciiTheme="minorEastAsia" w:eastAsiaTheme="minorEastAsia" w:hAnsiTheme="minorEastAsia" w:hint="eastAsia"/>
          <w:color w:val="000000"/>
          <w:sz w:val="28"/>
          <w:szCs w:val="28"/>
        </w:rPr>
        <w:t>2014年10月15日</w:t>
      </w:r>
    </w:p>
    <w:p w:rsidR="004475F4" w:rsidRPr="004475F4" w:rsidRDefault="004475F4" w:rsidP="004475F4">
      <w:pPr>
        <w:spacing w:line="360" w:lineRule="auto"/>
        <w:rPr>
          <w:rFonts w:asciiTheme="minorEastAsia" w:eastAsiaTheme="minorEastAsia" w:hAnsiTheme="minorEastAsia"/>
          <w:color w:val="000000"/>
          <w:sz w:val="28"/>
          <w:szCs w:val="28"/>
        </w:rPr>
      </w:pPr>
    </w:p>
    <w:sectPr w:rsidR="004475F4" w:rsidRPr="004475F4" w:rsidSect="00052C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AF" w:rsidRDefault="006B09AF" w:rsidP="004475F4">
      <w:r>
        <w:separator/>
      </w:r>
    </w:p>
  </w:endnote>
  <w:endnote w:type="continuationSeparator" w:id="1">
    <w:p w:rsidR="006B09AF" w:rsidRDefault="006B09AF" w:rsidP="00447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AF" w:rsidRDefault="006B09AF" w:rsidP="004475F4">
      <w:r>
        <w:separator/>
      </w:r>
    </w:p>
  </w:footnote>
  <w:footnote w:type="continuationSeparator" w:id="1">
    <w:p w:rsidR="006B09AF" w:rsidRDefault="006B09AF" w:rsidP="00447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5F4"/>
    <w:rsid w:val="00052CC7"/>
    <w:rsid w:val="004475F4"/>
    <w:rsid w:val="006B09AF"/>
    <w:rsid w:val="009C17B6"/>
    <w:rsid w:val="00F26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5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75F4"/>
    <w:rPr>
      <w:sz w:val="18"/>
      <w:szCs w:val="18"/>
    </w:rPr>
  </w:style>
  <w:style w:type="paragraph" w:styleId="a4">
    <w:name w:val="footer"/>
    <w:basedOn w:val="a"/>
    <w:link w:val="Char0"/>
    <w:uiPriority w:val="99"/>
    <w:semiHidden/>
    <w:unhideWhenUsed/>
    <w:rsid w:val="004475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475F4"/>
    <w:rPr>
      <w:sz w:val="18"/>
      <w:szCs w:val="18"/>
    </w:rPr>
  </w:style>
  <w:style w:type="character" w:customStyle="1" w:styleId="1Char">
    <w:name w:val="样式1 Char"/>
    <w:basedOn w:val="a0"/>
    <w:link w:val="1"/>
    <w:locked/>
    <w:rsid w:val="004475F4"/>
    <w:rPr>
      <w:rFonts w:ascii="方正小标宋简体" w:eastAsia="方正小标宋简体" w:hAnsi="仿宋"/>
      <w:bCs/>
      <w:color w:val="000000"/>
      <w:sz w:val="32"/>
      <w:szCs w:val="32"/>
    </w:rPr>
  </w:style>
  <w:style w:type="paragraph" w:customStyle="1" w:styleId="1">
    <w:name w:val="样式1"/>
    <w:basedOn w:val="a"/>
    <w:link w:val="1Char"/>
    <w:rsid w:val="004475F4"/>
    <w:pPr>
      <w:pageBreakBefore/>
      <w:adjustRightInd w:val="0"/>
      <w:snapToGrid w:val="0"/>
      <w:spacing w:line="560" w:lineRule="exact"/>
      <w:jc w:val="center"/>
    </w:pPr>
    <w:rPr>
      <w:rFonts w:ascii="方正小标宋简体" w:eastAsia="方正小标宋简体" w:hAnsi="仿宋" w:cstheme="minorBidi"/>
      <w:bCs/>
      <w:color w:val="000000"/>
      <w:sz w:val="32"/>
      <w:szCs w:val="32"/>
    </w:rPr>
  </w:style>
  <w:style w:type="character" w:customStyle="1" w:styleId="2Char">
    <w:name w:val="样式2 Char"/>
    <w:basedOn w:val="a0"/>
    <w:link w:val="2"/>
    <w:locked/>
    <w:rsid w:val="004475F4"/>
    <w:rPr>
      <w:rFonts w:ascii="黑体" w:eastAsia="黑体" w:hAnsi="黑体"/>
      <w:sz w:val="28"/>
      <w:szCs w:val="28"/>
      <w:lang w:val="zh-CN"/>
    </w:rPr>
  </w:style>
  <w:style w:type="paragraph" w:customStyle="1" w:styleId="2">
    <w:name w:val="样式2"/>
    <w:basedOn w:val="a"/>
    <w:link w:val="2Char"/>
    <w:rsid w:val="004475F4"/>
    <w:pPr>
      <w:autoSpaceDE w:val="0"/>
      <w:autoSpaceDN w:val="0"/>
      <w:adjustRightInd w:val="0"/>
      <w:spacing w:line="560" w:lineRule="exact"/>
      <w:jc w:val="center"/>
    </w:pPr>
    <w:rPr>
      <w:rFonts w:ascii="黑体" w:eastAsia="黑体" w:hAnsi="黑体" w:cstheme="minorBidi"/>
      <w:sz w:val="28"/>
      <w:szCs w:val="28"/>
      <w:lang w:val="zh-CN"/>
    </w:rPr>
  </w:style>
  <w:style w:type="paragraph" w:customStyle="1" w:styleId="3">
    <w:name w:val="样式3"/>
    <w:basedOn w:val="a"/>
    <w:rsid w:val="004475F4"/>
    <w:pPr>
      <w:spacing w:line="420" w:lineRule="exact"/>
      <w:ind w:firstLineChars="200" w:firstLine="480"/>
    </w:pPr>
    <w:rPr>
      <w:rFonts w:ascii="仿宋" w:eastAsia="仿宋" w:hAnsi="仿宋"/>
      <w:color w:val="000000"/>
      <w:sz w:val="24"/>
    </w:rPr>
  </w:style>
</w:styles>
</file>

<file path=word/webSettings.xml><?xml version="1.0" encoding="utf-8"?>
<w:webSettings xmlns:r="http://schemas.openxmlformats.org/officeDocument/2006/relationships" xmlns:w="http://schemas.openxmlformats.org/wordprocessingml/2006/main">
  <w:divs>
    <w:div w:id="19195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277</Words>
  <Characters>1583</Characters>
  <Application>Microsoft Office Word</Application>
  <DocSecurity>0</DocSecurity>
  <Lines>13</Lines>
  <Paragraphs>3</Paragraphs>
  <ScaleCrop>false</ScaleCrop>
  <Company>Hewlett-Packard Company</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yjuy</dc:creator>
  <cp:keywords/>
  <dc:description/>
  <cp:lastModifiedBy>yjuy</cp:lastModifiedBy>
  <cp:revision>3</cp:revision>
  <dcterms:created xsi:type="dcterms:W3CDTF">2017-08-31T07:49:00Z</dcterms:created>
  <dcterms:modified xsi:type="dcterms:W3CDTF">2017-09-01T00:13:00Z</dcterms:modified>
</cp:coreProperties>
</file>